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1800BB">
      <w:pPr>
        <w:pStyle w:val="8"/>
        <w:widowControl w:val="0"/>
        <w:kinsoku w:val="0"/>
        <w:overflowPunct w:val="0"/>
        <w:spacing w:line="360" w:lineRule="auto"/>
        <w:jc w:val="center"/>
        <w:outlineLvl w:val="1"/>
        <w:rPr>
          <w:rFonts w:hint="default" w:ascii="宋体" w:hAnsi="宋体" w:eastAsia="宋体" w:cs="宋体"/>
        </w:rPr>
      </w:pPr>
      <w:r>
        <w:rPr>
          <w:rFonts w:ascii="宋体" w:hAnsi="宋体" w:eastAsia="宋体" w:cs="宋体"/>
          <w:b/>
          <w:sz w:val="36"/>
        </w:rPr>
        <w:t>第七章 拟签订合同文本</w:t>
      </w:r>
    </w:p>
    <w:p w14:paraId="727EED43">
      <w:pPr>
        <w:kinsoku w:val="0"/>
        <w:overflowPunct w:val="0"/>
        <w:spacing w:after="0" w:line="360" w:lineRule="auto"/>
        <w:ind w:firstLine="440" w:firstLineChars="20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合同编号：</w:t>
      </w:r>
    </w:p>
    <w:p w14:paraId="1F1B4D1B">
      <w:pPr>
        <w:kinsoku w:val="0"/>
        <w:overflowPunct w:val="0"/>
        <w:spacing w:after="0" w:line="360" w:lineRule="auto"/>
        <w:ind w:firstLine="440" w:firstLineChars="200"/>
        <w:rPr>
          <w:rFonts w:hint="default" w:ascii="宋体" w:hAnsi="宋体" w:eastAsia="宋体" w:cs="宋体"/>
          <w:bCs/>
          <w:color w:val="000000" w:themeColor="text1"/>
          <w:sz w:val="22"/>
          <w:lang w:val="en-US" w:eastAsia="zh-CN"/>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签订地点：汉中市人民医院</w:t>
      </w:r>
      <w:r>
        <w:rPr>
          <w:rFonts w:hint="eastAsia" w:ascii="宋体" w:hAnsi="宋体" w:eastAsia="宋体" w:cs="宋体"/>
          <w:bCs/>
          <w:color w:val="000000" w:themeColor="text1"/>
          <w:sz w:val="22"/>
          <w:lang w:val="en-US" w:eastAsia="zh-CN"/>
          <w14:textFill>
            <w14:solidFill>
              <w14:schemeClr w14:val="tx1"/>
            </w14:solidFill>
          </w14:textFill>
        </w:rPr>
        <w:t xml:space="preserve">      </w:t>
      </w:r>
    </w:p>
    <w:p w14:paraId="2A087977">
      <w:pPr>
        <w:kinsoku w:val="0"/>
        <w:overflowPunct w:val="0"/>
        <w:spacing w:after="0" w:line="360" w:lineRule="auto"/>
        <w:ind w:firstLine="440" w:firstLineChars="20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采购人（甲方）：汉中市人民医院</w:t>
      </w:r>
    </w:p>
    <w:p w14:paraId="03A19C5A">
      <w:pPr>
        <w:kinsoku w:val="0"/>
        <w:overflowPunct w:val="0"/>
        <w:spacing w:after="0" w:line="360" w:lineRule="auto"/>
        <w:ind w:firstLine="440" w:firstLineChars="20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 xml:space="preserve">供应商（乙方）： </w:t>
      </w:r>
    </w:p>
    <w:p w14:paraId="18A1332A">
      <w:pPr>
        <w:pStyle w:val="4"/>
        <w:kinsoku w:val="0"/>
        <w:overflowPunct w:val="0"/>
        <w:spacing w:after="0" w:line="360" w:lineRule="auto"/>
        <w:ind w:firstLine="440" w:firstLineChars="20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供应商规模：  规模企业（大、中、小、微）</w:t>
      </w:r>
    </w:p>
    <w:p w14:paraId="4AEEB0EA">
      <w:pPr>
        <w:kinsoku w:val="0"/>
        <w:overflowPunct w:val="0"/>
        <w:spacing w:after="0" w:line="360" w:lineRule="auto"/>
        <w:ind w:firstLine="440" w:firstLineChars="20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 xml:space="preserve">招标公司： </w:t>
      </w:r>
    </w:p>
    <w:p w14:paraId="47954026">
      <w:pPr>
        <w:kinsoku w:val="0"/>
        <w:overflowPunct w:val="0"/>
        <w:spacing w:after="0" w:line="360" w:lineRule="auto"/>
        <w:ind w:firstLine="440" w:firstLineChars="20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 xml:space="preserve">招标时间：    年    月    日   ； </w:t>
      </w:r>
      <w:r>
        <w:rPr>
          <w:rFonts w:hint="eastAsia" w:ascii="宋体" w:hAnsi="宋体" w:eastAsia="宋体" w:cs="宋体"/>
          <w:bCs/>
          <w:color w:val="000000" w:themeColor="text1"/>
          <w:sz w:val="22"/>
          <w:lang w:val="en-US" w:eastAsia="zh-CN"/>
          <w14:textFill>
            <w14:solidFill>
              <w14:schemeClr w14:val="tx1"/>
            </w14:solidFill>
          </w14:textFill>
        </w:rPr>
        <w:t xml:space="preserve">  </w:t>
      </w:r>
      <w:r>
        <w:rPr>
          <w:rFonts w:hint="eastAsia" w:ascii="宋体" w:hAnsi="宋体" w:eastAsia="宋体" w:cs="宋体"/>
          <w:bCs/>
          <w:color w:val="000000" w:themeColor="text1"/>
          <w:sz w:val="22"/>
          <w14:textFill>
            <w14:solidFill>
              <w14:schemeClr w14:val="tx1"/>
            </w14:solidFill>
          </w14:textFill>
        </w:rPr>
        <w:t xml:space="preserve"> 中标时间：    年    月   日</w:t>
      </w:r>
    </w:p>
    <w:p w14:paraId="42996531">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根据《中华人民共和国政府采购法》、《中华人民共和国民法典》及汉中市人民医院放射治疗模拟及图像引导系统（大孔径定位CT等设备）采购项目采购项目（项目编</w:t>
      </w:r>
      <w:r>
        <w:rPr>
          <w:rFonts w:hint="eastAsia" w:ascii="宋体" w:hAnsi="宋体" w:eastAsia="宋体"/>
          <w:bCs/>
          <w:color w:val="000000" w:themeColor="text1"/>
          <w:kern w:val="0"/>
          <w:sz w:val="22"/>
          <w:szCs w:val="22"/>
          <w14:textFill>
            <w14:solidFill>
              <w14:schemeClr w14:val="tx1"/>
            </w14:solidFill>
          </w14:textFill>
        </w:rPr>
        <w:t>号：</w:t>
      </w:r>
      <w:r>
        <w:rPr>
          <w:rFonts w:hint="eastAsia" w:ascii="宋体" w:hAnsi="宋体" w:eastAsia="宋体"/>
          <w:bCs/>
          <w:color w:val="000000" w:themeColor="text1"/>
          <w:sz w:val="22"/>
          <w:szCs w:val="22"/>
          <w:u w:val="single"/>
          <w14:textFill>
            <w14:solidFill>
              <w14:schemeClr w14:val="tx1"/>
            </w14:solidFill>
          </w14:textFill>
        </w:rPr>
        <w:t xml:space="preserve">               </w:t>
      </w:r>
      <w:r>
        <w:rPr>
          <w:rFonts w:hint="eastAsia" w:ascii="宋体" w:hAnsi="宋体" w:eastAsia="宋体"/>
          <w:bCs/>
          <w:color w:val="000000" w:themeColor="text1"/>
          <w:kern w:val="0"/>
          <w:sz w:val="22"/>
          <w:szCs w:val="22"/>
          <w14:textFill>
            <w14:solidFill>
              <w14:schemeClr w14:val="tx1"/>
            </w14:solidFill>
          </w14:textFill>
        </w:rPr>
        <w:t>）</w:t>
      </w:r>
      <w:r>
        <w:rPr>
          <w:rFonts w:hint="eastAsia" w:ascii="宋体" w:hAnsi="宋体" w:eastAsia="宋体"/>
          <w:bCs/>
          <w:color w:val="000000" w:themeColor="text1"/>
          <w:sz w:val="22"/>
          <w:szCs w:val="22"/>
          <w14:textFill>
            <w14:solidFill>
              <w14:schemeClr w14:val="tx1"/>
            </w14:solidFill>
          </w14:textFill>
        </w:rPr>
        <w:t>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14:paraId="2957FEAF">
      <w:pPr>
        <w:kinsoku w:val="0"/>
        <w:overflowPunct w:val="0"/>
        <w:spacing w:after="0" w:line="360" w:lineRule="auto"/>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一、合同货物（配置清单附后）</w:t>
      </w:r>
    </w:p>
    <w:tbl>
      <w:tblPr>
        <w:tblStyle w:val="6"/>
        <w:tblW w:w="980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7"/>
        <w:gridCol w:w="878"/>
        <w:gridCol w:w="717"/>
        <w:gridCol w:w="750"/>
        <w:gridCol w:w="650"/>
        <w:gridCol w:w="1033"/>
        <w:gridCol w:w="1050"/>
        <w:gridCol w:w="917"/>
        <w:gridCol w:w="1450"/>
        <w:gridCol w:w="700"/>
        <w:gridCol w:w="799"/>
      </w:tblGrid>
      <w:tr w14:paraId="5CF48B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3"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14:paraId="1238816F">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货物品名</w:t>
            </w:r>
          </w:p>
        </w:tc>
        <w:tc>
          <w:tcPr>
            <w:tcW w:w="878" w:type="dxa"/>
            <w:tcBorders>
              <w:top w:val="single" w:color="auto" w:sz="4" w:space="0"/>
              <w:left w:val="single" w:color="auto" w:sz="4" w:space="0"/>
              <w:bottom w:val="single" w:color="auto" w:sz="4" w:space="0"/>
              <w:right w:val="single" w:color="auto" w:sz="4" w:space="0"/>
            </w:tcBorders>
            <w:vAlign w:val="center"/>
          </w:tcPr>
          <w:p w14:paraId="17D8FB5A">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产地</w:t>
            </w:r>
          </w:p>
          <w:p w14:paraId="42A544C6">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品牌</w:t>
            </w:r>
          </w:p>
        </w:tc>
        <w:tc>
          <w:tcPr>
            <w:tcW w:w="717" w:type="dxa"/>
            <w:tcBorders>
              <w:top w:val="single" w:color="auto" w:sz="4" w:space="0"/>
              <w:left w:val="single" w:color="auto" w:sz="4" w:space="0"/>
              <w:bottom w:val="single" w:color="auto" w:sz="4" w:space="0"/>
              <w:right w:val="single" w:color="auto" w:sz="4" w:space="0"/>
            </w:tcBorders>
            <w:vAlign w:val="center"/>
          </w:tcPr>
          <w:p w14:paraId="1FB9BE0C">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规格</w:t>
            </w:r>
          </w:p>
          <w:p w14:paraId="3A04A42C">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型号</w:t>
            </w:r>
          </w:p>
        </w:tc>
        <w:tc>
          <w:tcPr>
            <w:tcW w:w="750" w:type="dxa"/>
            <w:tcBorders>
              <w:top w:val="single" w:color="auto" w:sz="4" w:space="0"/>
              <w:left w:val="single" w:color="auto" w:sz="4" w:space="0"/>
              <w:bottom w:val="single" w:color="auto" w:sz="4" w:space="0"/>
              <w:right w:val="single" w:color="auto" w:sz="4" w:space="0"/>
            </w:tcBorders>
            <w:vAlign w:val="center"/>
          </w:tcPr>
          <w:p w14:paraId="5619C75D">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单位</w:t>
            </w:r>
          </w:p>
        </w:tc>
        <w:tc>
          <w:tcPr>
            <w:tcW w:w="650" w:type="dxa"/>
            <w:tcBorders>
              <w:top w:val="single" w:color="auto" w:sz="4" w:space="0"/>
              <w:left w:val="single" w:color="auto" w:sz="4" w:space="0"/>
              <w:bottom w:val="single" w:color="auto" w:sz="4" w:space="0"/>
              <w:right w:val="single" w:color="auto" w:sz="4" w:space="0"/>
            </w:tcBorders>
            <w:vAlign w:val="center"/>
          </w:tcPr>
          <w:p w14:paraId="73640A26">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数量</w:t>
            </w:r>
          </w:p>
        </w:tc>
        <w:tc>
          <w:tcPr>
            <w:tcW w:w="1033" w:type="dxa"/>
            <w:tcBorders>
              <w:top w:val="single" w:color="auto" w:sz="4" w:space="0"/>
              <w:left w:val="single" w:color="auto" w:sz="4" w:space="0"/>
              <w:bottom w:val="single" w:color="auto" w:sz="4" w:space="0"/>
              <w:right w:val="single" w:color="auto" w:sz="4" w:space="0"/>
            </w:tcBorders>
            <w:vAlign w:val="center"/>
          </w:tcPr>
          <w:p w14:paraId="23372453">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单价</w:t>
            </w:r>
          </w:p>
          <w:p w14:paraId="5788E33E">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（万元）</w:t>
            </w:r>
          </w:p>
        </w:tc>
        <w:tc>
          <w:tcPr>
            <w:tcW w:w="1050" w:type="dxa"/>
            <w:tcBorders>
              <w:top w:val="single" w:color="auto" w:sz="4" w:space="0"/>
              <w:left w:val="single" w:color="auto" w:sz="4" w:space="0"/>
              <w:bottom w:val="single" w:color="auto" w:sz="4" w:space="0"/>
              <w:right w:val="single" w:color="auto" w:sz="4" w:space="0"/>
            </w:tcBorders>
            <w:vAlign w:val="center"/>
          </w:tcPr>
          <w:p w14:paraId="264AE434">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总价</w:t>
            </w:r>
          </w:p>
          <w:p w14:paraId="1FFD4871">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（万元）</w:t>
            </w:r>
          </w:p>
        </w:tc>
        <w:tc>
          <w:tcPr>
            <w:tcW w:w="917" w:type="dxa"/>
            <w:tcBorders>
              <w:top w:val="single" w:color="auto" w:sz="4" w:space="0"/>
              <w:left w:val="single" w:color="auto" w:sz="4" w:space="0"/>
              <w:bottom w:val="single" w:color="auto" w:sz="4" w:space="0"/>
              <w:right w:val="single" w:color="auto" w:sz="4" w:space="0"/>
            </w:tcBorders>
            <w:vAlign w:val="center"/>
          </w:tcPr>
          <w:p w14:paraId="7122962F">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随机</w:t>
            </w:r>
          </w:p>
          <w:p w14:paraId="67283D2E">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配件</w:t>
            </w:r>
          </w:p>
        </w:tc>
        <w:tc>
          <w:tcPr>
            <w:tcW w:w="1450" w:type="dxa"/>
            <w:tcBorders>
              <w:top w:val="single" w:color="auto" w:sz="4" w:space="0"/>
              <w:left w:val="single" w:color="auto" w:sz="4" w:space="0"/>
              <w:bottom w:val="single" w:color="auto" w:sz="4" w:space="0"/>
              <w:right w:val="single" w:color="auto" w:sz="4" w:space="0"/>
            </w:tcBorders>
            <w:vAlign w:val="center"/>
          </w:tcPr>
          <w:p w14:paraId="4C7A4ADD">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交货期</w:t>
            </w:r>
          </w:p>
        </w:tc>
        <w:tc>
          <w:tcPr>
            <w:tcW w:w="700" w:type="dxa"/>
            <w:tcBorders>
              <w:top w:val="single" w:color="auto" w:sz="4" w:space="0"/>
              <w:left w:val="single" w:color="auto" w:sz="4" w:space="0"/>
              <w:bottom w:val="single" w:color="auto" w:sz="4" w:space="0"/>
              <w:right w:val="single" w:color="auto" w:sz="4" w:space="0"/>
            </w:tcBorders>
          </w:tcPr>
          <w:p w14:paraId="7DA19172">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使用科室</w:t>
            </w:r>
          </w:p>
        </w:tc>
        <w:tc>
          <w:tcPr>
            <w:tcW w:w="799" w:type="dxa"/>
            <w:tcBorders>
              <w:top w:val="single" w:color="auto" w:sz="4" w:space="0"/>
              <w:left w:val="single" w:color="auto" w:sz="4" w:space="0"/>
              <w:bottom w:val="single" w:color="auto" w:sz="4" w:space="0"/>
              <w:right w:val="single" w:color="auto" w:sz="4" w:space="0"/>
            </w:tcBorders>
          </w:tcPr>
          <w:p w14:paraId="2E600B60">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资金类型</w:t>
            </w:r>
          </w:p>
        </w:tc>
      </w:tr>
      <w:tr w14:paraId="3C49BC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14:paraId="2F4DF9CF">
            <w:pPr>
              <w:pStyle w:val="10"/>
              <w:kinsoku w:val="0"/>
              <w:overflowPunct w:val="0"/>
              <w:spacing w:after="0" w:line="360" w:lineRule="auto"/>
              <w:ind w:firstLine="0" w:firstLineChars="0"/>
              <w:jc w:val="center"/>
              <w:rPr>
                <w:rFonts w:ascii="宋体" w:hAnsi="宋体" w:eastAsia="宋体" w:cs="宋体"/>
                <w:bCs/>
                <w:color w:val="000000" w:themeColor="text1"/>
                <w:sz w:val="22"/>
                <w14:textFill>
                  <w14:solidFill>
                    <w14:schemeClr w14:val="tx1"/>
                  </w14:solidFill>
                </w14:textFill>
              </w:rPr>
            </w:pPr>
          </w:p>
        </w:tc>
        <w:tc>
          <w:tcPr>
            <w:tcW w:w="878" w:type="dxa"/>
            <w:tcBorders>
              <w:top w:val="single" w:color="auto" w:sz="4" w:space="0"/>
              <w:left w:val="single" w:color="auto" w:sz="4" w:space="0"/>
              <w:bottom w:val="single" w:color="auto" w:sz="4" w:space="0"/>
              <w:right w:val="single" w:color="auto" w:sz="4" w:space="0"/>
            </w:tcBorders>
            <w:vAlign w:val="center"/>
          </w:tcPr>
          <w:p w14:paraId="060ED7D7">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p>
        </w:tc>
        <w:tc>
          <w:tcPr>
            <w:tcW w:w="717" w:type="dxa"/>
            <w:tcBorders>
              <w:top w:val="single" w:color="auto" w:sz="4" w:space="0"/>
              <w:left w:val="single" w:color="auto" w:sz="4" w:space="0"/>
              <w:bottom w:val="single" w:color="auto" w:sz="4" w:space="0"/>
              <w:right w:val="single" w:color="auto" w:sz="4" w:space="0"/>
            </w:tcBorders>
            <w:vAlign w:val="center"/>
          </w:tcPr>
          <w:p w14:paraId="0AFB8427">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p>
        </w:tc>
        <w:tc>
          <w:tcPr>
            <w:tcW w:w="750" w:type="dxa"/>
            <w:tcBorders>
              <w:top w:val="single" w:color="auto" w:sz="4" w:space="0"/>
              <w:left w:val="single" w:color="auto" w:sz="4" w:space="0"/>
              <w:bottom w:val="single" w:color="auto" w:sz="4" w:space="0"/>
              <w:right w:val="single" w:color="auto" w:sz="4" w:space="0"/>
            </w:tcBorders>
            <w:vAlign w:val="center"/>
          </w:tcPr>
          <w:p w14:paraId="00DE5A17">
            <w:pPr>
              <w:kinsoku w:val="0"/>
              <w:overflowPunct w:val="0"/>
              <w:spacing w:after="0" w:line="360" w:lineRule="auto"/>
              <w:ind w:firstLine="110" w:firstLineChars="50"/>
              <w:jc w:val="center"/>
              <w:rPr>
                <w:rFonts w:ascii="宋体" w:hAnsi="宋体" w:eastAsia="宋体" w:cs="宋体"/>
                <w:bCs/>
                <w:color w:val="000000" w:themeColor="text1"/>
                <w:sz w:val="22"/>
                <w14:textFill>
                  <w14:solidFill>
                    <w14:schemeClr w14:val="tx1"/>
                  </w14:solidFill>
                </w14:textFill>
              </w:rPr>
            </w:pPr>
          </w:p>
        </w:tc>
        <w:tc>
          <w:tcPr>
            <w:tcW w:w="650" w:type="dxa"/>
            <w:tcBorders>
              <w:top w:val="single" w:color="auto" w:sz="4" w:space="0"/>
              <w:left w:val="single" w:color="auto" w:sz="4" w:space="0"/>
              <w:bottom w:val="single" w:color="auto" w:sz="4" w:space="0"/>
              <w:right w:val="single" w:color="auto" w:sz="4" w:space="0"/>
            </w:tcBorders>
            <w:vAlign w:val="center"/>
          </w:tcPr>
          <w:p w14:paraId="0D27ECB1">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 xml:space="preserve"> </w:t>
            </w:r>
          </w:p>
        </w:tc>
        <w:tc>
          <w:tcPr>
            <w:tcW w:w="1033" w:type="dxa"/>
            <w:tcBorders>
              <w:top w:val="single" w:color="auto" w:sz="4" w:space="0"/>
              <w:left w:val="single" w:color="auto" w:sz="4" w:space="0"/>
              <w:bottom w:val="single" w:color="auto" w:sz="4" w:space="0"/>
              <w:right w:val="single" w:color="auto" w:sz="4" w:space="0"/>
            </w:tcBorders>
            <w:vAlign w:val="center"/>
          </w:tcPr>
          <w:p w14:paraId="4D34E871">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 xml:space="preserve"> </w:t>
            </w:r>
          </w:p>
        </w:tc>
        <w:tc>
          <w:tcPr>
            <w:tcW w:w="1050" w:type="dxa"/>
            <w:tcBorders>
              <w:top w:val="single" w:color="auto" w:sz="4" w:space="0"/>
              <w:left w:val="single" w:color="auto" w:sz="4" w:space="0"/>
              <w:bottom w:val="single" w:color="auto" w:sz="4" w:space="0"/>
              <w:right w:val="single" w:color="auto" w:sz="4" w:space="0"/>
            </w:tcBorders>
            <w:vAlign w:val="center"/>
          </w:tcPr>
          <w:p w14:paraId="6B098A2B">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 xml:space="preserve"> </w:t>
            </w:r>
          </w:p>
        </w:tc>
        <w:tc>
          <w:tcPr>
            <w:tcW w:w="917" w:type="dxa"/>
            <w:tcBorders>
              <w:top w:val="single" w:color="auto" w:sz="4" w:space="0"/>
              <w:left w:val="single" w:color="auto" w:sz="4" w:space="0"/>
              <w:right w:val="single" w:color="auto" w:sz="4" w:space="0"/>
            </w:tcBorders>
            <w:vAlign w:val="center"/>
          </w:tcPr>
          <w:p w14:paraId="6CF43805">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详见配置清单</w:t>
            </w:r>
          </w:p>
        </w:tc>
        <w:tc>
          <w:tcPr>
            <w:tcW w:w="1450" w:type="dxa"/>
            <w:tcBorders>
              <w:top w:val="single" w:color="auto" w:sz="4" w:space="0"/>
              <w:left w:val="single" w:color="auto" w:sz="4" w:space="0"/>
              <w:right w:val="single" w:color="auto" w:sz="4" w:space="0"/>
            </w:tcBorders>
            <w:vAlign w:val="center"/>
          </w:tcPr>
          <w:p w14:paraId="14DAC8B8">
            <w:pPr>
              <w:kinsoku w:val="0"/>
              <w:overflowPunct w:val="0"/>
              <w:spacing w:after="0" w:line="360" w:lineRule="auto"/>
              <w:jc w:val="both"/>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合同签订后XX日内</w:t>
            </w:r>
          </w:p>
        </w:tc>
        <w:tc>
          <w:tcPr>
            <w:tcW w:w="700" w:type="dxa"/>
            <w:tcBorders>
              <w:top w:val="single" w:color="auto" w:sz="4" w:space="0"/>
              <w:left w:val="single" w:color="auto" w:sz="4" w:space="0"/>
              <w:right w:val="single" w:color="auto" w:sz="4" w:space="0"/>
            </w:tcBorders>
          </w:tcPr>
          <w:p w14:paraId="1D30EA13">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p>
        </w:tc>
        <w:tc>
          <w:tcPr>
            <w:tcW w:w="799" w:type="dxa"/>
            <w:tcBorders>
              <w:top w:val="single" w:color="auto" w:sz="4" w:space="0"/>
              <w:left w:val="single" w:color="auto" w:sz="4" w:space="0"/>
              <w:right w:val="single" w:color="auto" w:sz="4" w:space="0"/>
            </w:tcBorders>
          </w:tcPr>
          <w:p w14:paraId="5DF23CCA">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p>
        </w:tc>
      </w:tr>
      <w:tr w14:paraId="5633BD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14:paraId="33CC3963">
            <w:pPr>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合计</w:t>
            </w:r>
          </w:p>
        </w:tc>
        <w:tc>
          <w:tcPr>
            <w:tcW w:w="7445" w:type="dxa"/>
            <w:gridSpan w:val="8"/>
            <w:tcBorders>
              <w:top w:val="single" w:color="auto" w:sz="4" w:space="0"/>
              <w:left w:val="single" w:color="auto" w:sz="4" w:space="0"/>
              <w:bottom w:val="single" w:color="auto" w:sz="4" w:space="0"/>
              <w:right w:val="single" w:color="auto" w:sz="4" w:space="0"/>
            </w:tcBorders>
            <w:vAlign w:val="center"/>
          </w:tcPr>
          <w:p w14:paraId="4F61A041">
            <w:pPr>
              <w:kinsoku w:val="0"/>
              <w:overflowPunct w:val="0"/>
              <w:spacing w:after="0" w:line="360" w:lineRule="auto"/>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人民币（大写）：</w:t>
            </w:r>
            <w:r>
              <w:rPr>
                <w:rFonts w:hint="eastAsia" w:ascii="宋体" w:hAnsi="宋体" w:eastAsia="宋体" w:cs="宋体"/>
                <w:bCs/>
                <w:color w:val="000000" w:themeColor="text1"/>
                <w:sz w:val="22"/>
                <w:u w:val="single"/>
                <w14:textFill>
                  <w14:solidFill>
                    <w14:schemeClr w14:val="tx1"/>
                  </w14:solidFill>
                </w14:textFill>
              </w:rPr>
              <w:t xml:space="preserve">                         </w:t>
            </w:r>
            <w:r>
              <w:rPr>
                <w:rFonts w:hint="eastAsia" w:ascii="宋体" w:hAnsi="宋体" w:eastAsia="宋体" w:cs="宋体"/>
                <w:bCs/>
                <w:color w:val="000000" w:themeColor="text1"/>
                <w:sz w:val="22"/>
                <w14:textFill>
                  <w14:solidFill>
                    <w14:schemeClr w14:val="tx1"/>
                  </w14:solidFill>
                </w14:textFill>
              </w:rPr>
              <w:t>（¥：</w:t>
            </w:r>
            <w:r>
              <w:rPr>
                <w:rFonts w:hint="eastAsia" w:ascii="宋体" w:hAnsi="宋体" w:eastAsia="宋体" w:cs="宋体"/>
                <w:bCs/>
                <w:color w:val="000000" w:themeColor="text1"/>
                <w:sz w:val="22"/>
                <w:u w:val="single"/>
                <w14:textFill>
                  <w14:solidFill>
                    <w14:schemeClr w14:val="tx1"/>
                  </w14:solidFill>
                </w14:textFill>
              </w:rPr>
              <w:t xml:space="preserve">           </w:t>
            </w:r>
            <w:r>
              <w:rPr>
                <w:rFonts w:hint="eastAsia" w:ascii="宋体" w:hAnsi="宋体" w:eastAsia="宋体" w:cs="宋体"/>
                <w:bCs/>
                <w:color w:val="000000" w:themeColor="text1"/>
                <w:sz w:val="22"/>
                <w14:textFill>
                  <w14:solidFill>
                    <w14:schemeClr w14:val="tx1"/>
                  </w14:solidFill>
                </w14:textFill>
              </w:rPr>
              <w:t>元）</w:t>
            </w:r>
          </w:p>
        </w:tc>
        <w:tc>
          <w:tcPr>
            <w:tcW w:w="700" w:type="dxa"/>
            <w:tcBorders>
              <w:top w:val="single" w:color="auto" w:sz="4" w:space="0"/>
              <w:left w:val="single" w:color="auto" w:sz="4" w:space="0"/>
              <w:bottom w:val="single" w:color="auto" w:sz="4" w:space="0"/>
              <w:right w:val="single" w:color="auto" w:sz="4" w:space="0"/>
            </w:tcBorders>
          </w:tcPr>
          <w:p w14:paraId="4EBDFC7E">
            <w:pPr>
              <w:kinsoku w:val="0"/>
              <w:overflowPunct w:val="0"/>
              <w:spacing w:after="0" w:line="360" w:lineRule="auto"/>
              <w:rPr>
                <w:rFonts w:ascii="宋体" w:hAnsi="宋体" w:eastAsia="宋体" w:cs="宋体"/>
                <w:bCs/>
                <w:color w:val="000000" w:themeColor="text1"/>
                <w:sz w:val="22"/>
                <w14:textFill>
                  <w14:solidFill>
                    <w14:schemeClr w14:val="tx1"/>
                  </w14:solidFill>
                </w14:textFill>
              </w:rPr>
            </w:pPr>
          </w:p>
        </w:tc>
        <w:tc>
          <w:tcPr>
            <w:tcW w:w="799" w:type="dxa"/>
            <w:tcBorders>
              <w:top w:val="single" w:color="auto" w:sz="4" w:space="0"/>
              <w:left w:val="single" w:color="auto" w:sz="4" w:space="0"/>
              <w:bottom w:val="single" w:color="auto" w:sz="4" w:space="0"/>
              <w:right w:val="single" w:color="auto" w:sz="4" w:space="0"/>
            </w:tcBorders>
          </w:tcPr>
          <w:p w14:paraId="2B297B2D">
            <w:pPr>
              <w:kinsoku w:val="0"/>
              <w:overflowPunct w:val="0"/>
              <w:spacing w:after="0" w:line="360" w:lineRule="auto"/>
              <w:rPr>
                <w:rFonts w:ascii="宋体" w:hAnsi="宋体" w:eastAsia="宋体" w:cs="宋体"/>
                <w:bCs/>
                <w:color w:val="000000" w:themeColor="text1"/>
                <w:sz w:val="22"/>
                <w14:textFill>
                  <w14:solidFill>
                    <w14:schemeClr w14:val="tx1"/>
                  </w14:solidFill>
                </w14:textFill>
              </w:rPr>
            </w:pPr>
          </w:p>
        </w:tc>
      </w:tr>
    </w:tbl>
    <w:p w14:paraId="0743B231">
      <w:pPr>
        <w:kinsoku w:val="0"/>
        <w:overflowPunct w:val="0"/>
        <w:spacing w:after="0" w:line="360" w:lineRule="auto"/>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 xml:space="preserve">     二、合同总价</w:t>
      </w:r>
    </w:p>
    <w:p w14:paraId="1FAA1F64">
      <w:pPr>
        <w:pStyle w:val="3"/>
        <w:kinsoku w:val="0"/>
        <w:overflowPunct w:val="0"/>
        <w:spacing w:before="0" w:after="0" w:line="360" w:lineRule="auto"/>
        <w:ind w:firstLine="464" w:firstLineChars="20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合同总价为人民币大写：</w:t>
      </w:r>
      <w:r>
        <w:rPr>
          <w:rFonts w:hint="eastAsia" w:ascii="宋体" w:hAnsi="宋体" w:eastAsia="宋体" w:cs="宋体"/>
          <w:bCs/>
          <w:color w:val="000000" w:themeColor="text1"/>
          <w:sz w:val="22"/>
          <w:u w:val="single"/>
          <w14:textFill>
            <w14:solidFill>
              <w14:schemeClr w14:val="tx1"/>
            </w14:solidFill>
          </w14:textFill>
        </w:rPr>
        <w:t xml:space="preserve">                   </w:t>
      </w:r>
      <w:r>
        <w:rPr>
          <w:rFonts w:hint="eastAsia" w:ascii="宋体" w:hAnsi="宋体" w:eastAsia="宋体" w:cs="宋体"/>
          <w:bCs/>
          <w:color w:val="000000" w:themeColor="text1"/>
          <w:sz w:val="22"/>
          <w14:textFill>
            <w14:solidFill>
              <w14:schemeClr w14:val="tx1"/>
            </w14:solidFill>
          </w14:textFill>
        </w:rPr>
        <w:t>，即RMB¥</w:t>
      </w:r>
      <w:r>
        <w:rPr>
          <w:rFonts w:hint="eastAsia" w:ascii="宋体" w:hAnsi="宋体" w:eastAsia="宋体" w:cs="宋体"/>
          <w:bCs/>
          <w:color w:val="000000" w:themeColor="text1"/>
          <w:sz w:val="22"/>
          <w:u w:val="single"/>
          <w14:textFill>
            <w14:solidFill>
              <w14:schemeClr w14:val="tx1"/>
            </w14:solidFill>
          </w14:textFill>
        </w:rPr>
        <w:t xml:space="preserve">           </w:t>
      </w:r>
      <w:r>
        <w:rPr>
          <w:rFonts w:hint="eastAsia" w:ascii="宋体" w:hAnsi="宋体" w:eastAsia="宋体" w:cs="宋体"/>
          <w:bCs/>
          <w:color w:val="000000" w:themeColor="text1"/>
          <w:sz w:val="22"/>
          <w14:textFill>
            <w14:solidFill>
              <w14:schemeClr w14:val="tx1"/>
            </w14:solidFill>
          </w14:textFill>
        </w:rPr>
        <w:t>元；该合同总价已包括货物生产、包装、运输、安装、调试、检测、培训、验收合格交付使用之前及保修期内保修服务与备用物件等所有其它有关各项的含税费用。本合同执行期间合同总价不变，甲方无须另向乙方支付本合同规定之外的其他任何费用。</w:t>
      </w:r>
    </w:p>
    <w:p w14:paraId="2150F7CC">
      <w:pPr>
        <w:pStyle w:val="3"/>
        <w:kinsoku w:val="0"/>
        <w:overflowPunct w:val="0"/>
        <w:spacing w:before="0" w:after="0" w:line="360" w:lineRule="auto"/>
        <w:ind w:firstLine="464" w:firstLineChars="20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三、交货地点：汉中市人民医院（甲方指定地点）</w:t>
      </w:r>
    </w:p>
    <w:p w14:paraId="22A1091B">
      <w:pPr>
        <w:pStyle w:val="3"/>
        <w:kinsoku w:val="0"/>
        <w:overflowPunct w:val="0"/>
        <w:spacing w:before="0" w:after="0" w:line="360" w:lineRule="auto"/>
        <w:ind w:firstLine="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 xml:space="preserve">    注意：包装箱及拆箱、安装和调试产生的垃圾请带出院外自行处理。</w:t>
      </w:r>
    </w:p>
    <w:p w14:paraId="20A873D7">
      <w:pPr>
        <w:pStyle w:val="3"/>
        <w:kinsoku w:val="0"/>
        <w:overflowPunct w:val="0"/>
        <w:spacing w:before="0" w:after="0" w:line="360" w:lineRule="auto"/>
        <w:ind w:firstLine="464" w:firstLineChars="20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四、质量要求</w:t>
      </w:r>
    </w:p>
    <w:p w14:paraId="6CE810B2">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1、乙方须提供全新的货物（含零部件、配件等），表面无划伤、无碰撞痕迹，且权属清楚，不得侵害他人的知识产权。</w:t>
      </w:r>
    </w:p>
    <w:p w14:paraId="1B781418">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2、货物必须符合国家或行业标准，以及本项目招标文件的质量要求和技术指标与出厂标准。</w:t>
      </w:r>
    </w:p>
    <w:p w14:paraId="31C26AFC">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3、货物质量出现问题，乙方应在三日内负责包换或包退，产生的费用由乙方负担，甲方有权监督质询乙方提供的货物质量和生产、运输进度。</w:t>
      </w:r>
    </w:p>
    <w:p w14:paraId="5D49344C">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4、货到现场后由于甲方保管不当影响货物质量或被损坏，乙方应负责维修或更换被损坏的部件，因此产生的费用由甲方负担。</w:t>
      </w:r>
    </w:p>
    <w:p w14:paraId="2270AA9B">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5、因乙方所供设备质量问题引发的一切纠纷及损失由乙方承担责任，给甲方造成损失的乙方应当承担赔偿责任。</w:t>
      </w:r>
    </w:p>
    <w:p w14:paraId="6B562BCA">
      <w:pPr>
        <w:kinsoku w:val="0"/>
        <w:overflowPunct w:val="0"/>
        <w:spacing w:after="0" w:line="360" w:lineRule="auto"/>
        <w:ind w:firstLine="440" w:firstLineChars="20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五、交货及验收</w:t>
      </w:r>
    </w:p>
    <w:p w14:paraId="6E499ABF">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1、乙方交货期限为合同签订生效后的XX日内，在合同签订生效之日起XX天内交货到甲方指定地点，乙方应在</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日内全部完成安装调试并经验收合格交付使用，由于甲方的原因造成合同延迟签订或验收的，时间顺延。交货验收时乙方须提供产品质检部门从同类产品中抽样检查合格的检测报告，进口产品需提供甲方购买货物的相同批次报关文件。</w:t>
      </w:r>
    </w:p>
    <w:p w14:paraId="26E51A5A">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2、验收由甲方组织，乙方配合进行：</w:t>
      </w:r>
    </w:p>
    <w:p w14:paraId="383F75E0">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(1) 货物在乙方通知安装调试完毕后</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日内初步验收。初步验收合格后，进入</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日试用期；试用期间发生重大质量问题，按照合同条款第四项之第3条处理，试用期相应顺延；试用期结束后</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日内完成最终验收；</w:t>
      </w:r>
    </w:p>
    <w:p w14:paraId="75C10214">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(2) 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3559A711">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(3) 验收时如发现所交付的货物有缺项、次品、损坏或其它不符合标准及本合同规定之情形者，甲方应做出详尽的现场记录，并由甲乙双方签署备忘录，此现场记录或备忘录可用作补充缺失和更换损坏部件和更换符合要求的整机之有效证据，由此产生的时间延误与相关费用由乙方承担，验收期限相应顺延；</w:t>
      </w:r>
    </w:p>
    <w:p w14:paraId="1415F0CD">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 xml:space="preserve">(4) 如质量验收合格，双方签署质量验收报告，作为双方最终结算的依据。  </w:t>
      </w:r>
    </w:p>
    <w:p w14:paraId="7CB5622D">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3、货物安装完成后</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日内，甲方无故不进行验收工作并已使用货物的，视同已安装调试完成并初步验收合格。</w:t>
      </w:r>
    </w:p>
    <w:p w14:paraId="4DFB6A56">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4、乙方应将所提供货物的装箱清单、配件、随机工具、用户使用手册、原厂保修卡等资料在交货的同时交付给甲方；乙方不能完整交付货物及本款规定的单证或工具等约定的资料的，必须负责补齐，否则视为未按合同约定交货。</w:t>
      </w:r>
    </w:p>
    <w:p w14:paraId="450B5A40">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5、如货物质量有问题，经甲方同意乙方</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次维修仍不能达到合同约定的质量标准，甲方有权退货，并视作乙方不能交付货物而须支付违约赔偿金给甲方，甲方还可依法追究乙方的违约责任。 </w:t>
      </w:r>
    </w:p>
    <w:p w14:paraId="5943122E">
      <w:pPr>
        <w:kinsoku w:val="0"/>
        <w:overflowPunct w:val="0"/>
        <w:spacing w:after="0" w:line="360" w:lineRule="auto"/>
        <w:ind w:firstLine="440" w:firstLineChars="20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六、培训和保养</w:t>
      </w:r>
    </w:p>
    <w:p w14:paraId="6361DBE2">
      <w:pPr>
        <w:kinsoku w:val="0"/>
        <w:overflowPunct w:val="0"/>
        <w:spacing w:after="0" w:line="360" w:lineRule="auto"/>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 xml:space="preserve">    乙方以多种方式负责向甲方培训设备的使用操作和维护保养工作，直到熟练掌握为止。甲方负责考核培训结果以决定是否需要再培训。乙方接到甲方培训通知后3日内安排再培训。</w:t>
      </w:r>
    </w:p>
    <w:p w14:paraId="3C855A91">
      <w:pPr>
        <w:kinsoku w:val="0"/>
        <w:overflowPunct w:val="0"/>
        <w:spacing w:after="0" w:line="360" w:lineRule="auto"/>
        <w:ind w:firstLine="440" w:firstLineChars="20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 xml:space="preserve">七、付款方式     </w:t>
      </w:r>
    </w:p>
    <w:p w14:paraId="7BDBE883">
      <w:pPr>
        <w:kinsoku w:val="0"/>
        <w:overflowPunct w:val="0"/>
        <w:spacing w:after="0" w:line="360" w:lineRule="auto"/>
        <w:ind w:firstLine="440" w:firstLineChars="20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1、</w:t>
      </w:r>
      <w:r>
        <w:rPr>
          <w:rFonts w:hint="eastAsia" w:ascii="宋体" w:hAnsi="宋体" w:eastAsia="宋体" w:cs="宋体"/>
          <w:color w:val="000000" w:themeColor="text1"/>
          <w14:textFill>
            <w14:solidFill>
              <w14:schemeClr w14:val="tx1"/>
            </w14:solidFill>
          </w14:textFill>
        </w:rPr>
        <w:t>合同签订后，</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个工作日内，甲方向乙方支付合同价款的  </w:t>
      </w:r>
      <w:r>
        <w:rPr>
          <w:rFonts w:hint="eastAsia" w:ascii="宋体" w:hAnsi="宋体" w:eastAsia="宋体" w:cs="宋体"/>
        </w:rPr>
        <w:t>%作为预付款；货到安装、调试</w:t>
      </w:r>
      <w:r>
        <w:rPr>
          <w:rFonts w:hint="eastAsia" w:ascii="宋体" w:hAnsi="宋体" w:eastAsia="宋体" w:cs="宋体"/>
          <w:color w:val="000000" w:themeColor="text1"/>
          <w14:textFill>
            <w14:solidFill>
              <w14:schemeClr w14:val="tx1"/>
            </w14:solidFill>
          </w14:textFill>
        </w:rPr>
        <w:t>符合合同约定的质量标准要求，</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 xml:space="preserve">个工作日内，甲方向乙方支付合同价款剩余款项的  </w:t>
      </w:r>
      <w:r>
        <w:rPr>
          <w:rFonts w:hint="eastAsia" w:ascii="宋体" w:hAnsi="宋体" w:eastAsia="宋体" w:cs="宋体"/>
        </w:rPr>
        <w:t>%；</w:t>
      </w:r>
      <w:r>
        <w:rPr>
          <w:rFonts w:hint="eastAsia" w:ascii="宋体" w:hAnsi="宋体" w:eastAsia="宋体" w:cs="宋体"/>
          <w:color w:val="000000" w:themeColor="text1"/>
          <w14:textFill>
            <w14:solidFill>
              <w14:schemeClr w14:val="tx1"/>
            </w14:solidFill>
          </w14:textFill>
        </w:rPr>
        <w:t>经最终履约验收合格后，甲方</w:t>
      </w:r>
      <w:r>
        <w:rPr>
          <w:rFonts w:hint="eastAsia" w:ascii="宋体" w:hAnsi="宋体" w:eastAsia="宋体" w:cs="宋体"/>
          <w:color w:val="000000" w:themeColor="text1"/>
          <w:lang w:val="en-US" w:eastAsia="zh-CN"/>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个工作日内向乙方支付剩余合同价款的  %。</w:t>
      </w:r>
    </w:p>
    <w:p w14:paraId="5B481C8F">
      <w:pPr>
        <w:pStyle w:val="8"/>
        <w:widowControl w:val="0"/>
        <w:kinsoku w:val="0"/>
        <w:overflowPunct w:val="0"/>
        <w:spacing w:line="360" w:lineRule="auto"/>
        <w:ind w:firstLine="440" w:firstLineChars="200"/>
        <w:rPr>
          <w:ins w:id="0" w:author="懒汉ing" w:date="2025-06-13T15:40:00Z"/>
          <w:rFonts w:hint="default" w:ascii="宋体" w:hAnsi="宋体" w:eastAsia="宋体" w:cs="宋体"/>
          <w:bCs/>
          <w:color w:val="000000" w:themeColor="text1"/>
          <w:sz w:val="22"/>
          <w:szCs w:val="22"/>
          <w14:textFill>
            <w14:solidFill>
              <w14:schemeClr w14:val="tx1"/>
            </w14:solidFill>
          </w14:textFill>
        </w:rPr>
      </w:pPr>
      <w:r>
        <w:rPr>
          <w:rFonts w:ascii="宋体" w:hAnsi="宋体" w:eastAsia="宋体" w:cs="宋体"/>
          <w:bCs/>
          <w:color w:val="000000" w:themeColor="text1"/>
          <w:sz w:val="22"/>
          <w:szCs w:val="22"/>
          <w:lang w:eastAsia="zh-CN"/>
          <w14:textFill>
            <w14:solidFill>
              <w14:schemeClr w14:val="tx1"/>
            </w14:solidFill>
          </w14:textFill>
        </w:rPr>
        <w:t>2</w:t>
      </w:r>
      <w:r>
        <w:rPr>
          <w:rFonts w:ascii="宋体" w:hAnsi="宋体" w:eastAsia="宋体" w:cs="宋体"/>
          <w:bCs/>
          <w:color w:val="000000" w:themeColor="text1"/>
          <w:sz w:val="22"/>
          <w:szCs w:val="22"/>
          <w14:textFill>
            <w14:solidFill>
              <w14:schemeClr w14:val="tx1"/>
            </w14:solidFill>
          </w14:textFill>
        </w:rPr>
        <w:t>、乙方应当在甲方付款前向甲方出具正式增值税普通发票。乙方未按照约定提供发票的，甲方有权拒付相关款项，由此造成的损失由乙方负责。</w:t>
      </w:r>
    </w:p>
    <w:p w14:paraId="7C68DAF8">
      <w:pPr>
        <w:kinsoku w:val="0"/>
        <w:overflowPunct w:val="0"/>
        <w:spacing w:after="0" w:line="360" w:lineRule="auto"/>
        <w:ind w:firstLine="440" w:firstLineChars="20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八、售后服务</w:t>
      </w:r>
    </w:p>
    <w:p w14:paraId="0A117F4A">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1、依据投标文件的响应，设备质保期为验收合格后</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年（出具厂家提供的三年质保证明和维保内容，保修期外维修免工时费），质保期内出现质量问题，乙方在接到甲方通知后</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小时内响应，</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小时内到达现场明确解决方案，</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小时无法排除故障者需提供备用机，并承担修理调换的费用；质保期第一年内货物经乙方</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次维修仍达不到合同约定的质量标准时，视作乙方货物质量不符合合同约定，甲方有权退货并追究乙方违约责任。货到现场后由于甲方保管不当造成的问题，乙方亦应负责修复，但费用由甲方负担。</w:t>
      </w:r>
    </w:p>
    <w:p w14:paraId="3D21C5F1">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2、乙方应依据货物《招标文件》的《商务要求》中技术保障和服务保障，执行乙方《投标文件》的“响应”内容；</w:t>
      </w:r>
    </w:p>
    <w:p w14:paraId="45CDB1CF">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3、乙方须指派专人负责与甲方联系售后服务事宜。 </w:t>
      </w:r>
    </w:p>
    <w:p w14:paraId="7FC08D96">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甲方联系人及电话：</w:t>
      </w:r>
    </w:p>
    <w:p w14:paraId="2A1AAF74">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乙方法人及负责人姓名及联系电话：</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 xml:space="preserve">法  人：          负责人： </w:t>
      </w:r>
    </w:p>
    <w:p w14:paraId="1FA28EDF">
      <w:pPr>
        <w:kinsoku w:val="0"/>
        <w:overflowPunct w:val="0"/>
        <w:spacing w:after="0" w:line="360" w:lineRule="auto"/>
        <w:ind w:firstLine="440" w:firstLineChars="20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九、违约责任</w:t>
      </w:r>
    </w:p>
    <w:p w14:paraId="27A915EA">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1、甲方违约责任</w:t>
      </w:r>
    </w:p>
    <w:p w14:paraId="44EFF990">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（1）甲方无正当理由拒收货物的，甲方应偿付合同总价百分之五的违约金；</w:t>
      </w:r>
    </w:p>
    <w:p w14:paraId="378CB0E7">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（2）甲方逾期支付货款的，除应及时付足货款外，应按照银行同期贷款利率承担利息。逾期付款超过15天的，乙方有权终止合同；</w:t>
      </w:r>
    </w:p>
    <w:p w14:paraId="1D6A3200">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2、乙方违约责任</w:t>
      </w:r>
    </w:p>
    <w:p w14:paraId="58EFD21B">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1）乙方交付的货物质量不符合合同规定的，乙方应向甲方支付合同总价百分之五的违约金，并须在合同规定的交货时间内更换合格的货物给甲方，否则，视作乙方不能交付货物而违约，按本条本款下述第“（2）”项规定由乙方偿付违约赔偿金给甲方。</w:t>
      </w:r>
    </w:p>
    <w:p w14:paraId="033333B9">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2）乙方不能交付货物或逾期交付货物而违约的，除应及时交足货物外，还应向甲方偿付逾期交货部分货款总额万分之五/天的违约金；逾期交货超过7天，甲方有权终止合同，乙方则应按合同总价百分之五的款额向甲方偿付赔偿金，并须在三日内全额退还甲方已经付给乙方的货款及其利息，同时甲方有权将乙方违约事宜上报至财政监督管理部门备案。</w:t>
      </w:r>
    </w:p>
    <w:p w14:paraId="7AAD6D7A">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（3）乙方货物经甲方送交具有法定资格条件的质量技术监督机构检测后，如检测结果认定货物质量不符合本合同规定标准的，则视为乙方没有按时交货而违约，乙方须在</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天内无条件更换合格的货物，如逾期不能更换合格的货物，甲方有权终止本合同，乙方应另付合同总价的百分之一的赔偿金给甲方。</w:t>
      </w:r>
    </w:p>
    <w:p w14:paraId="085A5A81">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4）乙方保证甲方在本合同中货物的权利，包括货物所有权及知识产权等权利。如任何第三方经法院（或仲裁机构）裁决有权对上述货物主张权利或国家机关依法对货物进行没收查处的，乙方除应向甲方返还已收款项外，还应另按合同总价的</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向甲方支付违约金并赔偿因此给甲方造成的一切损失。</w:t>
      </w:r>
    </w:p>
    <w:p w14:paraId="09525B9C">
      <w:pPr>
        <w:kinsoku w:val="0"/>
        <w:overflowPunct w:val="0"/>
        <w:spacing w:after="0" w:line="360" w:lineRule="auto"/>
        <w:ind w:left="218" w:leftChars="104" w:firstLine="110" w:firstLineChars="5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（5）乙方在不能按照本合同第九条的约定时间提供售后服务，每逾期一次，按照合同总价款的</w:t>
      </w:r>
      <w:r>
        <w:rPr>
          <w:rFonts w:hint="eastAsia" w:ascii="宋体" w:hAnsi="宋体" w:eastAsia="宋体" w:cs="宋体"/>
          <w:bCs/>
          <w:color w:val="000000" w:themeColor="text1"/>
          <w:sz w:val="22"/>
          <w:u w:val="single"/>
          <w14:textFill>
            <w14:solidFill>
              <w14:schemeClr w14:val="tx1"/>
            </w14:solidFill>
          </w14:textFill>
        </w:rPr>
        <w:t xml:space="preserve">  </w:t>
      </w:r>
      <w:r>
        <w:rPr>
          <w:rFonts w:hint="eastAsia" w:ascii="宋体" w:hAnsi="宋体" w:eastAsia="宋体" w:cs="宋体"/>
          <w:bCs/>
          <w:color w:val="000000" w:themeColor="text1"/>
          <w:sz w:val="22"/>
          <w:u w:val="single"/>
          <w:lang w:val="en-US" w:eastAsia="zh-CN"/>
          <w14:textFill>
            <w14:solidFill>
              <w14:schemeClr w14:val="tx1"/>
            </w14:solidFill>
          </w14:textFill>
        </w:rPr>
        <w:t xml:space="preserve"> </w:t>
      </w:r>
      <w:r>
        <w:rPr>
          <w:rFonts w:hint="eastAsia" w:ascii="宋体" w:hAnsi="宋体" w:eastAsia="宋体" w:cs="宋体"/>
          <w:bCs/>
          <w:color w:val="000000" w:themeColor="text1"/>
          <w:sz w:val="22"/>
          <w:u w:val="single"/>
          <w14:textFill>
            <w14:solidFill>
              <w14:schemeClr w14:val="tx1"/>
            </w14:solidFill>
          </w14:textFill>
        </w:rPr>
        <w:t xml:space="preserve">%  </w:t>
      </w:r>
      <w:r>
        <w:rPr>
          <w:rFonts w:hint="eastAsia" w:ascii="宋体" w:hAnsi="宋体" w:eastAsia="宋体" w:cs="宋体"/>
          <w:bCs/>
          <w:color w:val="000000" w:themeColor="text1"/>
          <w:sz w:val="22"/>
          <w14:textFill>
            <w14:solidFill>
              <w14:schemeClr w14:val="tx1"/>
            </w14:solidFill>
          </w14:textFill>
        </w:rPr>
        <w:t>向甲方支付违约金。</w:t>
      </w:r>
    </w:p>
    <w:p w14:paraId="1DE279CC">
      <w:pPr>
        <w:kinsoku w:val="0"/>
        <w:overflowPunct w:val="0"/>
        <w:spacing w:after="0" w:line="360" w:lineRule="auto"/>
        <w:ind w:firstLine="440" w:firstLineChars="200"/>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十、争议解决办法</w:t>
      </w:r>
    </w:p>
    <w:p w14:paraId="4FEA9BAD">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1、因货物的质量问题发生争议，可委托质量技术监督部门或其指定的质量鉴定机构进行质量鉴定。货物符合标准的，鉴定费由甲方承担；货物不符合质量标准的，鉴定费由乙方承担。</w:t>
      </w:r>
    </w:p>
    <w:p w14:paraId="72D53025">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2、合同履行期间,若双方发生争议，可协商或由有关部门调解解决，协商或调解不成的，提交汉中市人民医院所在地人民法院诉讼解决。</w:t>
      </w:r>
    </w:p>
    <w:p w14:paraId="55894181">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十一、其他</w:t>
      </w:r>
    </w:p>
    <w:p w14:paraId="6A52F846">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1、如有未尽事宜，由双方依法订立补充合同，补充合同与本合同具有同等法律效力。</w:t>
      </w:r>
    </w:p>
    <w:p w14:paraId="71AE3EDF">
      <w:pPr>
        <w:pStyle w:val="9"/>
        <w:kinsoku w:val="0"/>
        <w:overflowPunct w:val="0"/>
        <w:spacing w:line="360" w:lineRule="auto"/>
        <w:ind w:firstLine="440"/>
        <w:rPr>
          <w:rFonts w:ascii="宋体" w:hAnsi="宋体" w:eastAsia="宋体"/>
          <w:bCs/>
          <w:color w:val="000000" w:themeColor="text1"/>
          <w:sz w:val="22"/>
          <w:szCs w:val="22"/>
          <w14:textFill>
            <w14:solidFill>
              <w14:schemeClr w14:val="tx1"/>
            </w14:solidFill>
          </w14:textFill>
        </w:rPr>
      </w:pPr>
      <w:r>
        <w:rPr>
          <w:rFonts w:hint="eastAsia" w:ascii="宋体" w:hAnsi="宋体" w:eastAsia="宋体"/>
          <w:bCs/>
          <w:color w:val="000000" w:themeColor="text1"/>
          <w:sz w:val="22"/>
          <w:szCs w:val="22"/>
          <w14:textFill>
            <w14:solidFill>
              <w14:schemeClr w14:val="tx1"/>
            </w14:solidFill>
          </w14:textFill>
        </w:rPr>
        <w:t>2、本合同一式</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份，甲方</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份，乙方</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份，采购代理机构</w:t>
      </w:r>
      <w:r>
        <w:rPr>
          <w:rFonts w:hint="eastAsia" w:ascii="宋体" w:hAnsi="宋体" w:eastAsia="宋体"/>
          <w:bCs/>
          <w:color w:val="000000" w:themeColor="text1"/>
          <w:sz w:val="22"/>
          <w:szCs w:val="22"/>
          <w:lang w:val="en-US" w:eastAsia="zh-CN"/>
          <w14:textFill>
            <w14:solidFill>
              <w14:schemeClr w14:val="tx1"/>
            </w14:solidFill>
          </w14:textFill>
        </w:rPr>
        <w:t xml:space="preserve">  </w:t>
      </w:r>
      <w:r>
        <w:rPr>
          <w:rFonts w:hint="eastAsia" w:ascii="宋体" w:hAnsi="宋体" w:eastAsia="宋体"/>
          <w:bCs/>
          <w:color w:val="000000" w:themeColor="text1"/>
          <w:sz w:val="22"/>
          <w:szCs w:val="22"/>
          <w14:textFill>
            <w14:solidFill>
              <w14:schemeClr w14:val="tx1"/>
            </w14:solidFill>
          </w14:textFill>
        </w:rPr>
        <w:t>份，效力相同，自双方签章盖章之日起生效。</w:t>
      </w:r>
    </w:p>
    <w:p w14:paraId="6FB6C7A1">
      <w:pPr>
        <w:kinsoku w:val="0"/>
        <w:overflowPunct w:val="0"/>
        <w:spacing w:after="0" w:line="360" w:lineRule="auto"/>
        <w:ind w:firstLine="431" w:firstLineChars="196"/>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3、货物交付前的风险由乙方承担。</w:t>
      </w:r>
    </w:p>
    <w:p w14:paraId="1C6F2698">
      <w:pPr>
        <w:kinsoku w:val="0"/>
        <w:overflowPunct w:val="0"/>
        <w:autoSpaceDE w:val="0"/>
        <w:autoSpaceDN w:val="0"/>
        <w:adjustRightInd w:val="0"/>
        <w:spacing w:after="0" w:line="360" w:lineRule="auto"/>
        <w:rPr>
          <w:rFonts w:ascii="宋体" w:hAnsi="宋体" w:eastAsia="宋体" w:cs="宋体"/>
          <w:bCs/>
          <w:color w:val="000000" w:themeColor="text1"/>
          <w:w w:val="110"/>
          <w:sz w:val="22"/>
          <w14:textFill>
            <w14:solidFill>
              <w14:schemeClr w14:val="tx1"/>
            </w14:solidFill>
          </w14:textFill>
        </w:rPr>
      </w:pPr>
      <w:r>
        <w:rPr>
          <w:rFonts w:hint="eastAsia" w:ascii="宋体" w:hAnsi="宋体" w:eastAsia="宋体" w:cs="宋体"/>
          <w:bCs/>
          <w:color w:val="000000" w:themeColor="text1"/>
          <w:w w:val="110"/>
          <w:sz w:val="22"/>
          <w14:textFill>
            <w14:solidFill>
              <w14:schemeClr w14:val="tx1"/>
            </w14:solidFill>
          </w14:textFill>
        </w:rPr>
        <w:t>（以下无正文）</w:t>
      </w:r>
    </w:p>
    <w:p w14:paraId="68D7A693">
      <w:pPr>
        <w:kinsoku w:val="0"/>
        <w:overflowPunct w:val="0"/>
        <w:spacing w:after="0" w:line="360" w:lineRule="auto"/>
        <w:rPr>
          <w:rFonts w:ascii="宋体" w:hAnsi="宋体" w:eastAsia="宋体" w:cs="宋体"/>
          <w:bCs/>
          <w:color w:val="000000" w:themeColor="text1"/>
          <w:sz w:val="22"/>
          <w:lang w:bidi="en-US"/>
          <w14:textFill>
            <w14:solidFill>
              <w14:schemeClr w14:val="tx1"/>
            </w14:solidFill>
          </w14:textFill>
        </w:rPr>
      </w:pPr>
      <w:r>
        <w:rPr>
          <w:rFonts w:hint="eastAsia" w:ascii="宋体" w:hAnsi="宋体" w:eastAsia="宋体" w:cs="宋体"/>
          <w:bCs/>
          <w:color w:val="000000" w:themeColor="text1"/>
          <w:sz w:val="22"/>
          <w:lang w:bidi="en-US"/>
          <w14:textFill>
            <w14:solidFill>
              <w14:schemeClr w14:val="tx1"/>
            </w14:solidFill>
          </w14:textFill>
        </w:rPr>
        <w:t>甲方：汉中市人民医院（盖章）         乙方：             （盖章）</w:t>
      </w:r>
    </w:p>
    <w:p w14:paraId="59CB390C">
      <w:pPr>
        <w:kinsoku w:val="0"/>
        <w:overflowPunct w:val="0"/>
        <w:spacing w:after="0" w:line="360" w:lineRule="auto"/>
        <w:rPr>
          <w:rFonts w:ascii="宋体" w:hAnsi="宋体" w:eastAsia="宋体" w:cs="宋体"/>
          <w:bCs/>
          <w:color w:val="000000" w:themeColor="text1"/>
          <w:sz w:val="22"/>
          <w:lang w:bidi="en-US"/>
          <w14:textFill>
            <w14:solidFill>
              <w14:schemeClr w14:val="tx1"/>
            </w14:solidFill>
          </w14:textFill>
        </w:rPr>
      </w:pPr>
      <w:r>
        <w:rPr>
          <w:rFonts w:hint="eastAsia" w:ascii="宋体" w:hAnsi="宋体" w:eastAsia="宋体" w:cs="宋体"/>
          <w:bCs/>
          <w:color w:val="000000" w:themeColor="text1"/>
          <w:sz w:val="22"/>
          <w:lang w:bidi="en-US"/>
          <w14:textFill>
            <w14:solidFill>
              <w14:schemeClr w14:val="tx1"/>
            </w14:solidFill>
          </w14:textFill>
        </w:rPr>
        <w:t>开户行：</w:t>
      </w:r>
      <w:r>
        <w:rPr>
          <w:rFonts w:hint="eastAsia" w:ascii="宋体" w:hAnsi="宋体" w:eastAsia="宋体" w:cs="宋体"/>
          <w:bCs/>
          <w:color w:val="000000" w:themeColor="text1"/>
          <w:sz w:val="22"/>
          <w14:textFill>
            <w14:solidFill>
              <w14:schemeClr w14:val="tx1"/>
            </w14:solidFill>
          </w14:textFill>
        </w:rPr>
        <w:t xml:space="preserve">                           </w:t>
      </w:r>
      <w:r>
        <w:rPr>
          <w:rFonts w:hint="eastAsia" w:ascii="宋体" w:hAnsi="宋体" w:eastAsia="宋体" w:cs="宋体"/>
          <w:bCs/>
          <w:color w:val="000000" w:themeColor="text1"/>
          <w:sz w:val="22"/>
          <w:lang w:bidi="en-US"/>
          <w14:textFill>
            <w14:solidFill>
              <w14:schemeClr w14:val="tx1"/>
            </w14:solidFill>
          </w14:textFill>
        </w:rPr>
        <w:t xml:space="preserve">   开户行： </w:t>
      </w:r>
    </w:p>
    <w:p w14:paraId="740368FC">
      <w:pPr>
        <w:kinsoku w:val="0"/>
        <w:overflowPunct w:val="0"/>
        <w:spacing w:after="0" w:line="360" w:lineRule="auto"/>
        <w:rPr>
          <w:rFonts w:ascii="宋体" w:hAnsi="宋体" w:eastAsia="宋体" w:cs="宋体"/>
          <w:bCs/>
          <w:color w:val="000000" w:themeColor="text1"/>
          <w:sz w:val="22"/>
          <w:lang w:bidi="en-US"/>
          <w14:textFill>
            <w14:solidFill>
              <w14:schemeClr w14:val="tx1"/>
            </w14:solidFill>
          </w14:textFill>
        </w:rPr>
      </w:pPr>
      <w:r>
        <w:rPr>
          <w:rFonts w:hint="eastAsia" w:ascii="宋体" w:hAnsi="宋体" w:eastAsia="宋体" w:cs="宋体"/>
          <w:bCs/>
          <w:color w:val="000000" w:themeColor="text1"/>
          <w:sz w:val="22"/>
          <w:lang w:bidi="en-US"/>
          <w14:textFill>
            <w14:solidFill>
              <w14:schemeClr w14:val="tx1"/>
            </w14:solidFill>
          </w14:textFill>
        </w:rPr>
        <w:t xml:space="preserve">账号                                  银行账号： </w:t>
      </w:r>
    </w:p>
    <w:p w14:paraId="7A91B2AC">
      <w:pPr>
        <w:kinsoku w:val="0"/>
        <w:overflowPunct w:val="0"/>
        <w:spacing w:after="0" w:line="360" w:lineRule="auto"/>
        <w:rPr>
          <w:rFonts w:ascii="宋体" w:hAnsi="宋体" w:eastAsia="宋体" w:cs="宋体"/>
          <w:bCs/>
          <w:color w:val="000000" w:themeColor="text1"/>
          <w:sz w:val="22"/>
          <w:lang w:bidi="en-US"/>
          <w14:textFill>
            <w14:solidFill>
              <w14:schemeClr w14:val="tx1"/>
            </w14:solidFill>
          </w14:textFill>
        </w:rPr>
      </w:pPr>
      <w:r>
        <w:rPr>
          <w:rFonts w:hint="eastAsia" w:ascii="宋体" w:hAnsi="宋体" w:eastAsia="宋体" w:cs="宋体"/>
          <w:bCs/>
          <w:color w:val="000000" w:themeColor="text1"/>
          <w:sz w:val="22"/>
          <w:lang w:bidi="en-US"/>
          <w14:textFill>
            <w14:solidFill>
              <w14:schemeClr w14:val="tx1"/>
            </w14:solidFill>
          </w14:textFill>
        </w:rPr>
        <w:t>地址：                                地址：</w:t>
      </w:r>
    </w:p>
    <w:p w14:paraId="126F4036">
      <w:pPr>
        <w:kinsoku w:val="0"/>
        <w:overflowPunct w:val="0"/>
        <w:spacing w:after="0" w:line="360" w:lineRule="auto"/>
        <w:rPr>
          <w:rFonts w:ascii="宋体" w:hAnsi="宋体" w:eastAsia="宋体" w:cs="宋体"/>
          <w:bCs/>
          <w:color w:val="000000" w:themeColor="text1"/>
          <w:sz w:val="22"/>
          <w:lang w:bidi="en-US"/>
          <w14:textFill>
            <w14:solidFill>
              <w14:schemeClr w14:val="tx1"/>
            </w14:solidFill>
          </w14:textFill>
        </w:rPr>
      </w:pPr>
      <w:r>
        <w:rPr>
          <w:rFonts w:hint="eastAsia" w:ascii="宋体" w:hAnsi="宋体" w:eastAsia="宋体" w:cs="宋体"/>
          <w:bCs/>
          <w:color w:val="000000" w:themeColor="text1"/>
          <w:sz w:val="22"/>
          <w:lang w:bidi="en-US"/>
          <w14:textFill>
            <w14:solidFill>
              <w14:schemeClr w14:val="tx1"/>
            </w14:solidFill>
          </w14:textFill>
        </w:rPr>
        <w:t xml:space="preserve">邮政编码：                             邮政编码： </w:t>
      </w:r>
    </w:p>
    <w:p w14:paraId="081A4F97">
      <w:pPr>
        <w:kinsoku w:val="0"/>
        <w:overflowPunct w:val="0"/>
        <w:spacing w:after="0" w:line="360" w:lineRule="auto"/>
        <w:rPr>
          <w:rFonts w:ascii="宋体" w:hAnsi="宋体" w:eastAsia="宋体" w:cs="宋体"/>
          <w:bCs/>
          <w:color w:val="000000" w:themeColor="text1"/>
          <w:sz w:val="22"/>
          <w:lang w:bidi="en-US"/>
          <w14:textFill>
            <w14:solidFill>
              <w14:schemeClr w14:val="tx1"/>
            </w14:solidFill>
          </w14:textFill>
        </w:rPr>
      </w:pPr>
      <w:r>
        <w:rPr>
          <w:rFonts w:hint="eastAsia" w:ascii="宋体" w:hAnsi="宋体" w:eastAsia="宋体" w:cs="宋体"/>
          <w:bCs/>
          <w:color w:val="000000" w:themeColor="text1"/>
          <w:sz w:val="22"/>
          <w:lang w:bidi="en-US"/>
          <w14:textFill>
            <w14:solidFill>
              <w14:schemeClr w14:val="tx1"/>
            </w14:solidFill>
          </w14:textFill>
        </w:rPr>
        <w:t>电话：                                电话：</w:t>
      </w:r>
    </w:p>
    <w:p w14:paraId="476E62C6">
      <w:pPr>
        <w:kinsoku w:val="0"/>
        <w:overflowPunct w:val="0"/>
        <w:spacing w:after="0" w:line="360" w:lineRule="auto"/>
        <w:rPr>
          <w:rFonts w:ascii="宋体" w:hAnsi="宋体" w:eastAsia="宋体" w:cs="宋体"/>
          <w:bCs/>
          <w:color w:val="000000" w:themeColor="text1"/>
          <w:sz w:val="22"/>
          <w:lang w:bidi="en-US"/>
          <w14:textFill>
            <w14:solidFill>
              <w14:schemeClr w14:val="tx1"/>
            </w14:solidFill>
          </w14:textFill>
        </w:rPr>
      </w:pPr>
      <w:r>
        <w:rPr>
          <w:rFonts w:hint="eastAsia" w:ascii="宋体" w:hAnsi="宋体" w:eastAsia="宋体" w:cs="宋体"/>
          <w:bCs/>
          <w:color w:val="000000" w:themeColor="text1"/>
          <w:sz w:val="22"/>
          <w:lang w:bidi="en-US"/>
          <w14:textFill>
            <w14:solidFill>
              <w14:schemeClr w14:val="tx1"/>
            </w14:solidFill>
          </w14:textFill>
        </w:rPr>
        <w:t>法定代表人（授权代表）：             法定代表人（授权代表）：</w:t>
      </w:r>
    </w:p>
    <w:p w14:paraId="0A6330DC">
      <w:pPr>
        <w:kinsoku w:val="0"/>
        <w:overflowPunct w:val="0"/>
        <w:spacing w:after="0" w:line="360" w:lineRule="auto"/>
        <w:rPr>
          <w:rFonts w:ascii="宋体" w:hAnsi="宋体" w:eastAsia="宋体" w:cs="宋体"/>
          <w:bCs/>
          <w:color w:val="000000" w:themeColor="text1"/>
          <w:sz w:val="22"/>
          <w:lang w:bidi="en-US"/>
          <w14:textFill>
            <w14:solidFill>
              <w14:schemeClr w14:val="tx1"/>
            </w14:solidFill>
          </w14:textFill>
        </w:rPr>
      </w:pPr>
      <w:r>
        <w:rPr>
          <w:rFonts w:hint="eastAsia" w:ascii="宋体" w:hAnsi="宋体" w:eastAsia="宋体" w:cs="宋体"/>
          <w:bCs/>
          <w:color w:val="000000" w:themeColor="text1"/>
          <w:sz w:val="22"/>
          <w:lang w:bidi="en-US"/>
          <w14:textFill>
            <w14:solidFill>
              <w14:schemeClr w14:val="tx1"/>
            </w14:solidFill>
          </w14:textFill>
        </w:rPr>
        <w:t>签订日期：  年  月   日              签订日期：   年  月   日</w:t>
      </w:r>
    </w:p>
    <w:p w14:paraId="79E3E57B">
      <w:pPr>
        <w:kinsoku w:val="0"/>
        <w:overflowPunct w:val="0"/>
        <w:autoSpaceDE w:val="0"/>
        <w:autoSpaceDN w:val="0"/>
        <w:spacing w:after="0" w:line="360" w:lineRule="auto"/>
        <w:textAlignment w:val="bottom"/>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鉴证方（业务专用章）：</w:t>
      </w:r>
    </w:p>
    <w:p w14:paraId="0B0F7585">
      <w:pPr>
        <w:kinsoku w:val="0"/>
        <w:overflowPunct w:val="0"/>
        <w:spacing w:after="0" w:line="360" w:lineRule="auto"/>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 xml:space="preserve">单位名称：         地址： </w:t>
      </w:r>
    </w:p>
    <w:p w14:paraId="29C68C01">
      <w:pPr>
        <w:kinsoku w:val="0"/>
        <w:overflowPunct w:val="0"/>
        <w:spacing w:after="0" w:line="360" w:lineRule="auto"/>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 xml:space="preserve">代理人（签字）：       联系电话： </w:t>
      </w:r>
    </w:p>
    <w:p w14:paraId="4BDF9DF1">
      <w:pPr>
        <w:kinsoku w:val="0"/>
        <w:overflowPunct w:val="0"/>
        <w:spacing w:after="0" w:line="360" w:lineRule="auto"/>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 xml:space="preserve">合同附件一：配置清单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9"/>
        <w:gridCol w:w="1869"/>
        <w:gridCol w:w="1869"/>
        <w:gridCol w:w="1869"/>
        <w:gridCol w:w="1812"/>
      </w:tblGrid>
      <w:tr w14:paraId="70DA9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dxa"/>
          </w:tcPr>
          <w:p w14:paraId="0DFEAD39">
            <w:pPr>
              <w:pStyle w:val="4"/>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序号</w:t>
            </w:r>
          </w:p>
        </w:tc>
        <w:tc>
          <w:tcPr>
            <w:tcW w:w="1869" w:type="dxa"/>
          </w:tcPr>
          <w:p w14:paraId="2F0C4D0B">
            <w:pPr>
              <w:pStyle w:val="4"/>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产品名称</w:t>
            </w:r>
          </w:p>
        </w:tc>
        <w:tc>
          <w:tcPr>
            <w:tcW w:w="1869" w:type="dxa"/>
          </w:tcPr>
          <w:p w14:paraId="4B75C0A1">
            <w:pPr>
              <w:pStyle w:val="4"/>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型号</w:t>
            </w:r>
          </w:p>
        </w:tc>
        <w:tc>
          <w:tcPr>
            <w:tcW w:w="1869" w:type="dxa"/>
          </w:tcPr>
          <w:p w14:paraId="66D02BE3">
            <w:pPr>
              <w:pStyle w:val="4"/>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数量</w:t>
            </w:r>
          </w:p>
        </w:tc>
        <w:tc>
          <w:tcPr>
            <w:tcW w:w="1812" w:type="dxa"/>
          </w:tcPr>
          <w:p w14:paraId="6D1DFECA">
            <w:pPr>
              <w:pStyle w:val="4"/>
              <w:kinsoku w:val="0"/>
              <w:overflowPunct w:val="0"/>
              <w:spacing w:after="0" w:line="360" w:lineRule="auto"/>
              <w:jc w:val="center"/>
              <w:rPr>
                <w:rFonts w:ascii="宋体" w:hAnsi="宋体" w:eastAsia="宋体" w:cs="宋体"/>
                <w:bCs/>
                <w:color w:val="000000" w:themeColor="text1"/>
                <w:sz w:val="22"/>
                <w14:textFill>
                  <w14:solidFill>
                    <w14:schemeClr w14:val="tx1"/>
                  </w14:solidFill>
                </w14:textFill>
              </w:rPr>
            </w:pPr>
            <w:r>
              <w:rPr>
                <w:rFonts w:hint="eastAsia" w:ascii="宋体" w:hAnsi="宋体" w:eastAsia="宋体" w:cs="宋体"/>
                <w:bCs/>
                <w:color w:val="000000" w:themeColor="text1"/>
                <w:sz w:val="22"/>
                <w14:textFill>
                  <w14:solidFill>
                    <w14:schemeClr w14:val="tx1"/>
                  </w14:solidFill>
                </w14:textFill>
              </w:rPr>
              <w:t>单位</w:t>
            </w:r>
          </w:p>
        </w:tc>
      </w:tr>
      <w:tr w14:paraId="36062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9" w:type="dxa"/>
          </w:tcPr>
          <w:p w14:paraId="23CCC83D">
            <w:pPr>
              <w:pStyle w:val="4"/>
              <w:kinsoku w:val="0"/>
              <w:overflowPunct w:val="0"/>
              <w:spacing w:after="0" w:line="360" w:lineRule="auto"/>
              <w:rPr>
                <w:rFonts w:ascii="宋体" w:hAnsi="宋体" w:eastAsia="宋体" w:cs="宋体"/>
                <w:bCs/>
                <w:color w:val="000000" w:themeColor="text1"/>
                <w:sz w:val="22"/>
                <w14:textFill>
                  <w14:solidFill>
                    <w14:schemeClr w14:val="tx1"/>
                  </w14:solidFill>
                </w14:textFill>
              </w:rPr>
            </w:pPr>
          </w:p>
        </w:tc>
        <w:tc>
          <w:tcPr>
            <w:tcW w:w="1869" w:type="dxa"/>
          </w:tcPr>
          <w:p w14:paraId="4FAAD47E">
            <w:pPr>
              <w:pStyle w:val="4"/>
              <w:kinsoku w:val="0"/>
              <w:overflowPunct w:val="0"/>
              <w:spacing w:after="0" w:line="360" w:lineRule="auto"/>
              <w:rPr>
                <w:rFonts w:ascii="宋体" w:hAnsi="宋体" w:eastAsia="宋体" w:cs="宋体"/>
                <w:bCs/>
                <w:color w:val="000000" w:themeColor="text1"/>
                <w:sz w:val="22"/>
                <w14:textFill>
                  <w14:solidFill>
                    <w14:schemeClr w14:val="tx1"/>
                  </w14:solidFill>
                </w14:textFill>
              </w:rPr>
            </w:pPr>
          </w:p>
        </w:tc>
        <w:tc>
          <w:tcPr>
            <w:tcW w:w="1869" w:type="dxa"/>
          </w:tcPr>
          <w:p w14:paraId="008BB0A5">
            <w:pPr>
              <w:pStyle w:val="4"/>
              <w:kinsoku w:val="0"/>
              <w:overflowPunct w:val="0"/>
              <w:spacing w:after="0" w:line="360" w:lineRule="auto"/>
              <w:rPr>
                <w:rFonts w:ascii="宋体" w:hAnsi="宋体" w:eastAsia="宋体" w:cs="宋体"/>
                <w:bCs/>
                <w:color w:val="000000" w:themeColor="text1"/>
                <w:sz w:val="22"/>
                <w14:textFill>
                  <w14:solidFill>
                    <w14:schemeClr w14:val="tx1"/>
                  </w14:solidFill>
                </w14:textFill>
              </w:rPr>
            </w:pPr>
          </w:p>
        </w:tc>
        <w:tc>
          <w:tcPr>
            <w:tcW w:w="1869" w:type="dxa"/>
          </w:tcPr>
          <w:p w14:paraId="30F8E69E">
            <w:pPr>
              <w:pStyle w:val="4"/>
              <w:kinsoku w:val="0"/>
              <w:overflowPunct w:val="0"/>
              <w:spacing w:after="0" w:line="360" w:lineRule="auto"/>
              <w:rPr>
                <w:rFonts w:ascii="宋体" w:hAnsi="宋体" w:eastAsia="宋体" w:cs="宋体"/>
                <w:bCs/>
                <w:color w:val="000000" w:themeColor="text1"/>
                <w:sz w:val="22"/>
                <w14:textFill>
                  <w14:solidFill>
                    <w14:schemeClr w14:val="tx1"/>
                  </w14:solidFill>
                </w14:textFill>
              </w:rPr>
            </w:pPr>
          </w:p>
        </w:tc>
        <w:tc>
          <w:tcPr>
            <w:tcW w:w="1812" w:type="dxa"/>
          </w:tcPr>
          <w:p w14:paraId="13CA5275">
            <w:pPr>
              <w:pStyle w:val="4"/>
              <w:kinsoku w:val="0"/>
              <w:overflowPunct w:val="0"/>
              <w:spacing w:after="0" w:line="360" w:lineRule="auto"/>
              <w:rPr>
                <w:rFonts w:ascii="宋体" w:hAnsi="宋体" w:eastAsia="宋体" w:cs="宋体"/>
                <w:bCs/>
                <w:color w:val="000000" w:themeColor="text1"/>
                <w:sz w:val="22"/>
                <w14:textFill>
                  <w14:solidFill>
                    <w14:schemeClr w14:val="tx1"/>
                  </w14:solidFill>
                </w14:textFill>
              </w:rPr>
            </w:pPr>
          </w:p>
        </w:tc>
      </w:tr>
    </w:tbl>
    <w:p w14:paraId="6DAC3E24">
      <w:pPr>
        <w:kinsoku w:val="0"/>
        <w:overflowPunct w:val="0"/>
        <w:spacing w:after="0" w:line="360" w:lineRule="auto"/>
      </w:pPr>
      <w:r>
        <w:rPr>
          <w:rFonts w:hint="eastAsia" w:ascii="宋体" w:hAnsi="宋体" w:eastAsia="宋体" w:cs="宋体"/>
          <w:bCs/>
          <w:color w:val="000000" w:themeColor="text1"/>
          <w:sz w:val="22"/>
          <w14:textFill>
            <w14:solidFill>
              <w14:schemeClr w14:val="tx1"/>
            </w14:solidFill>
          </w14:textFill>
        </w:rPr>
        <w:t>附件二：营业执照、法人授权委托书、受托人/法人身份证复印件</w:t>
      </w:r>
      <w:bookmarkStart w:id="0" w:name="_GoBack"/>
      <w:bookmarkEnd w:id="0"/>
    </w:p>
    <w:sectPr>
      <w:footerReference r:id="rId5" w:type="default"/>
      <w:pgSz w:w="11900" w:h="16843"/>
      <w:pgMar w:top="1247" w:right="1247" w:bottom="1247" w:left="1247" w:header="0" w:footer="51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16B68">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674CEF">
                          <w:pPr>
                            <w:pStyle w:val="5"/>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4674CEF">
                    <w:pPr>
                      <w:pStyle w:val="5"/>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懒汉ing">
    <w15:presenceInfo w15:providerId="WPS Office" w15:userId="13487535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0C50FB"/>
    <w:rsid w:val="4F0C5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before="60" w:line="360" w:lineRule="auto"/>
      <w:ind w:firstLine="420"/>
    </w:pPr>
    <w:rPr>
      <w:rFonts w:ascii="Times New Roman" w:hAnsi="Times New Roman"/>
      <w:spacing w:val="6"/>
    </w:rPr>
  </w:style>
  <w:style w:type="paragraph" w:styleId="4">
    <w:name w:val="Body Text"/>
    <w:basedOn w:val="1"/>
    <w:next w:val="1"/>
    <w:qFormat/>
    <w:uiPriority w:val="0"/>
    <w:rPr>
      <w:sz w:val="24"/>
    </w:rPr>
  </w:style>
  <w:style w:type="paragraph" w:styleId="5">
    <w:name w:val="footer"/>
    <w:basedOn w:val="1"/>
    <w:qFormat/>
    <w:uiPriority w:val="0"/>
    <w:pPr>
      <w:suppressLineNumbers/>
      <w:tabs>
        <w:tab w:val="center" w:pos="4818"/>
        <w:tab w:val="right" w:pos="9637"/>
      </w:tabs>
    </w:p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样式 首行缩进:  2 字符"/>
    <w:basedOn w:val="1"/>
    <w:qFormat/>
    <w:uiPriority w:val="0"/>
    <w:pPr>
      <w:spacing w:after="0" w:line="400" w:lineRule="exact"/>
      <w:ind w:firstLine="200" w:firstLineChars="200"/>
    </w:pPr>
    <w:rPr>
      <w:rFonts w:ascii="Times New Roman" w:hAnsi="Times New Roman" w:cs="宋体"/>
      <w:szCs w:val="24"/>
    </w:rPr>
  </w:style>
  <w:style w:type="paragraph" w:customStyle="1" w:styleId="10">
    <w:name w:val="正文首行缩进两字符"/>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16</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2026-04-10T05:37:00Z</dcterms:created>
  <dc:creator>刘兴华</dc:creator>
  <cp:lastModifiedBy>刘兴华</cp:lastModifiedBy>
  <dcterms:modified xsi:type="dcterms:W3CDTF">2026-04-10T05:54:07Z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1925A5CB7D3347839E1ABED2B4129338_11</vt:lpwstr>
  </property>
  <property fmtid="{D5CDD505-2E9C-101B-9397-08002B2CF9AE}" pid="4" name="KSOTemplateDocerSaveRecord">
    <vt:lpwstr>eyJoZGlkIjoiMWRhYWQ5YWYxMWFjODU4Yzc0Yjk3YTg5NDZmNzM5MTkiLCJ1c2VySWQiOiIyODc2OTQ0In0=</vt:lpwstr>
  </property>
</Properties>
</file>